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101.png" ContentType="image/png"/>
  <Override PartName="/word/media/rId100.png" ContentType="image/png"/>
  <Override PartName="/word/media/rId97.png" ContentType="image/png"/>
  <Override PartName="/word/media/rId96.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13</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bookmarkEnd w:id="23"/>
    <w:bookmarkStart w:id="24" w:name="northern-pikeminnow-population-size"/>
    <w:p>
      <w:pPr>
        <w:pStyle w:val="Heading2"/>
      </w:pPr>
      <w:r>
        <w:t xml:space="preserve">Northern Pikeminnow Population Size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to meet assumptions of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bookmarkEnd w:id="27"/>
    <w:bookmarkEnd w:id="28"/>
    <w:bookmarkStart w:id="33" w:name="results"/>
    <w:p>
      <w:pPr>
        <w:pStyle w:val="Heading1"/>
      </w:pPr>
      <w:r>
        <w:t xml:space="preserve">Results</w:t>
      </w:r>
    </w:p>
    <w:bookmarkStart w:id="29" w:name="northern-pikeminnow-population-size-1"/>
    <w:p>
      <w:pPr>
        <w:pStyle w:val="Heading2"/>
      </w:pPr>
      <w:r>
        <w:t xml:space="preserve">Northern Pikeminnow Population Size</w:t>
      </w:r>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24,381 to 42,475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9"/>
    <w:bookmarkStart w:id="30" w:name="stomach-contents-1"/>
    <w:p>
      <w:pPr>
        <w:pStyle w:val="Heading2"/>
      </w:pPr>
      <w:r>
        <w:t xml:space="preserve">Stomach Contents</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30"/>
    <w:bookmarkStart w:id="31" w:name="fish-consumption-potential-1"/>
    <w:p>
      <w:pPr>
        <w:pStyle w:val="Heading2"/>
      </w:pPr>
      <w:r>
        <w:t xml:space="preserve">Fish Consumption Potential</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bookmarkEnd w:id="31"/>
    <w:bookmarkStart w:id="32" w:name="X04b4ebf29d646c95e920fe225a058217179fb09"/>
    <w:p>
      <w:pPr>
        <w:pStyle w:val="Heading2"/>
      </w:pPr>
      <w:r>
        <w:t xml:space="preserve">Potential Impacts to Chinook Salmon Populations</w:t>
      </w:r>
    </w:p>
    <w:p>
      <w:pPr>
        <w:numPr>
          <w:ilvl w:val="0"/>
          <w:numId w:val="1002"/>
        </w:numPr>
        <w:pStyle w:val="Compact"/>
      </w:pPr>
      <w:r>
        <w:t xml:space="preserve">Start with total g of fish consumed by Northern Pikemnnow population, summing DSR and NRR time periods.</w:t>
      </w:r>
    </w:p>
    <w:p>
      <w:pPr>
        <w:numPr>
          <w:ilvl w:val="0"/>
          <w:numId w:val="1002"/>
        </w:numPr>
        <w:pStyle w:val="Compact"/>
      </w:pPr>
      <w:r>
        <w:t xml:space="preserve">Parse out portion of fish total g consumed that is juvenile Chinook Salmon (1%, 10%, 30%, 50%).</w:t>
      </w:r>
    </w:p>
    <w:p>
      <w:pPr>
        <w:numPr>
          <w:ilvl w:val="0"/>
          <w:numId w:val="1002"/>
        </w:numPr>
        <w:pStyle w:val="Compact"/>
      </w:pPr>
      <w:r>
        <w:t xml:space="preserve">Divide by average weight of juvenile Chinook Salmon (10.6 g), the average of DSR (10.3 g) and NRR (10.9 g) emigrants.</w:t>
      </w:r>
    </w:p>
    <w:p>
      <w:pPr>
        <w:numPr>
          <w:ilvl w:val="0"/>
          <w:numId w:val="1002"/>
        </w:numPr>
        <w:pStyle w:val="Compact"/>
      </w:pPr>
      <w:r>
        <w:t xml:space="preserve">Estimate of total juvenile Chinook Salmon consumed.</w:t>
      </w:r>
    </w:p>
    <w:p>
      <w:pPr>
        <w:numPr>
          <w:ilvl w:val="0"/>
          <w:numId w:val="1002"/>
        </w:numPr>
        <w:pStyle w:val="Compact"/>
      </w:pPr>
      <w:r>
        <w:t xml:space="preserve">Multiply by SAR to estimate</w:t>
      </w:r>
      <w:r>
        <w:t xml:space="preserve"> </w:t>
      </w:r>
      <w:r>
        <w:t xml:space="preserve">“</w:t>
      </w:r>
      <w:r>
        <w:t xml:space="preserve">adult equivalents.</w:t>
      </w:r>
      <w:r>
        <w:t xml:space="preserve">”</w:t>
      </w:r>
    </w:p>
    <w:bookmarkEnd w:id="32"/>
    <w:bookmarkEnd w:id="33"/>
    <w:bookmarkStart w:id="43" w:name="discussion"/>
    <w:p>
      <w:pPr>
        <w:pStyle w:val="Heading1"/>
      </w:pPr>
      <w:r>
        <w:t xml:space="preserve">Discussion</w:t>
      </w:r>
    </w:p>
    <w:p>
      <w:pPr>
        <w:pStyle w:val="FirstParagraph"/>
      </w:pPr>
      <w:r>
        <w:t xml:space="preserve">The mean population size of Northern Pikeminnow in the Deadwater Slough during the fall season was estimated to be 27,874 and during the spring 2021 to be 14,799. Those estimates translate to linear densities of 14,898 and 7,909</w:t>
      </w:r>
      <w:r>
        <w:t xml:space="preserve"> </w:t>
      </w:r>
      <w:r>
        <w:t xml:space="preserve"> </w:t>
      </w:r>
      <w:r>
        <w:t xml:space="preserve">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captured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4" w:name="mark-recapture-models"/>
    <w:p>
      <w:pPr>
        <w:pStyle w:val="Heading2"/>
      </w:pPr>
      <w:r>
        <w:t xml:space="preserve">Mark-Recapture Models</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and possibly biasing them low.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p>
    <w:p>
      <w:pPr>
        <w:pStyle w:val="BodyText"/>
      </w:pP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 We calculated this for the Schnabel estimator by assuming that only 70% of the fish marked each sample were returned to the populuation and available for recapture.</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r>
        <w:t xml:space="preserve"> </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bookmarkEnd w:id="35"/>
    <w:bookmarkStart w:id="36" w:name="bioenergetics"/>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6"/>
    <w:bookmarkStart w:id="37"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r>
        <w:t xml:space="preserve"> </w:t>
      </w:r>
    </w:p>
    <w:bookmarkEnd w:id="37"/>
    <w:bookmarkStart w:id="40"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8">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9">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40"/>
    <w:bookmarkStart w:id="41" w:name="management-implications"/>
    <w:p>
      <w:pPr>
        <w:pStyle w:val="Heading2"/>
      </w:pPr>
      <w:r>
        <w:t xml:space="preserve">Management Implications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hatchery populations which provide recreational fishing opportunities. Consequently, reducing predation mortality at Deadwater Slough could potentially benefit multiple upriver natural and hatchery populations, including multiple ESA-listed species. Because the Deadwater Slough is part of the migratory pathway for multiple species and populations of emigrating salmonids,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w:t>
      </w:r>
      <w:r>
        <w:rPr>
          <w:iCs/>
          <w:i/>
        </w:rPr>
        <w:t xml:space="preserve">citation</w:t>
      </w:r>
      <w:r>
        <w:t xml:space="preserve">).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years of continued funding and local buy-in to remain effective. If funding or effort was alleviated, Northern Pikeminnow would likely recover to a higher population size without additional alterations to the habitat.</w:t>
      </w:r>
      <w:r>
        <w:t xml:space="preserve"> </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of recent returns to the Upper Salmon River MPG. Therefore, predation in Deadwater Slough likely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92" w:name="literature-cited"/>
    <w:p>
      <w:pPr>
        <w:pStyle w:val="Heading1"/>
      </w:pPr>
      <w:r>
        <w:t xml:space="preserve">Literature Cited</w:t>
      </w:r>
    </w:p>
    <w:bookmarkStart w:id="91"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6"/>
    <w:bookmarkStart w:id="47"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0"/>
    <w:bookmarkStart w:id="51"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1"/>
    <w:bookmarkStart w:id="52"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2"/>
    <w:bookmarkStart w:id="53"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3"/>
    <w:bookmarkStart w:id="54"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4"/>
    <w:bookmarkStart w:id="55"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5"/>
    <w:bookmarkStart w:id="56"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6"/>
    <w:bookmarkStart w:id="57"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7"/>
    <w:bookmarkStart w:id="58"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8"/>
    <w:bookmarkStart w:id="59"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9"/>
    <w:bookmarkStart w:id="60" w:name="ref-Hartleb1995"/>
    <w:p>
      <w:pPr>
        <w:pStyle w:val="Bibliography"/>
      </w:pPr>
      <w:r>
        <w:t xml:space="preserve">Hartleb, C. F., and J. R. Moring. 1995. An improved gastric lavage device for removing stomach contents from live fish. Fisheries Research 24(3):261–265.</w:t>
      </w:r>
    </w:p>
    <w:bookmarkEnd w:id="60"/>
    <w:bookmarkStart w:id="61"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1"/>
    <w:bookmarkStart w:id="62"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2"/>
    <w:bookmarkStart w:id="63"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3"/>
    <w:bookmarkStart w:id="64" w:name="ref-Kamler2001"/>
    <w:p>
      <w:pPr>
        <w:pStyle w:val="Bibliography"/>
      </w:pPr>
      <w:r>
        <w:t xml:space="preserve">Kamler, J. F., and K. L. Pope. 2001. Nonlethal methods of examining fish stomach contents. Reviews in Fisheries Science 9(1):1–11.</w:t>
      </w:r>
    </w:p>
    <w:bookmarkEnd w:id="64"/>
    <w:bookmarkStart w:id="65"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5"/>
    <w:bookmarkStart w:id="6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6"/>
    <w:bookmarkStart w:id="67"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67"/>
    <w:bookmarkStart w:id="6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8"/>
    <w:bookmarkStart w:id="6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9"/>
    <w:bookmarkStart w:id="7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0"/>
    <w:bookmarkStart w:id="7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1"/>
    <w:bookmarkStart w:id="7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2"/>
    <w:bookmarkStart w:id="7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3"/>
    <w:bookmarkStart w:id="7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4"/>
    <w:bookmarkStart w:id="7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5"/>
    <w:bookmarkStart w:id="76"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6"/>
    <w:bookmarkStart w:id="7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7"/>
    <w:bookmarkStart w:id="7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8"/>
    <w:bookmarkStart w:id="7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9"/>
    <w:bookmarkStart w:id="8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0"/>
    <w:bookmarkStart w:id="8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1"/>
    <w:bookmarkStart w:id="8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82"/>
    <w:bookmarkStart w:id="83"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3"/>
    <w:bookmarkStart w:id="84"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4"/>
    <w:bookmarkStart w:id="85"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5"/>
    <w:bookmarkStart w:id="86"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6"/>
    <w:bookmarkStart w:id="87"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7"/>
    <w:bookmarkStart w:id="8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8"/>
    <w:bookmarkStart w:id="8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9"/>
    <w:bookmarkStart w:id="9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0"/>
    <w:bookmarkEnd w:id="91"/>
    <w:p>
      <w:r>
        <w:br w:type="page"/>
      </w:r>
    </w:p>
    <w:bookmarkEnd w:id="92"/>
    <w:bookmarkStart w:id="94" w:name="tables"/>
    <w:p>
      <w:pPr>
        <w:pStyle w:val="Heading1"/>
      </w:pPr>
      <w:r>
        <w:t xml:space="preserve">Tables</w:t>
      </w:r>
    </w:p>
    <w:bookmarkStart w:id="93" w:name="tables"/>
    <w:bookmarkEnd w:id="9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Petersen</w:t>
            </w:r>
          </w:p>
        </w:tc>
        <w:tc>
          <w:tcPr/>
          <w:p>
            <w:pPr>
              <w:pStyle w:val="Compact"/>
              <w:jc w:val="left"/>
            </w:pPr>
            <w:r>
              <w:t xml:space="preserve">15,105</w:t>
            </w:r>
          </w:p>
        </w:tc>
        <w:tc>
          <w:tcPr/>
          <w:p>
            <w:pPr>
              <w:pStyle w:val="Compact"/>
              <w:jc w:val="left"/>
            </w:pPr>
            <w:r>
              <w:t xml:space="preserve">5,658</w:t>
            </w:r>
          </w:p>
        </w:tc>
        <w:tc>
          <w:tcPr/>
          <w:p>
            <w:pPr>
              <w:pStyle w:val="Compact"/>
              <w:jc w:val="left"/>
            </w:pPr>
            <w:r>
              <w:t xml:space="preserve">7,331 - 37,569</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left"/>
            </w:pPr>
            <w:r>
              <w:t xml:space="preserve">20,615</w:t>
            </w:r>
          </w:p>
        </w:tc>
        <w:tc>
          <w:tcPr/>
          <w:p>
            <w:pPr>
              <w:pStyle w:val="Compact"/>
              <w:jc w:val="left"/>
            </w:pPr>
            <w:r>
              <w:t xml:space="preserve">NA</w:t>
            </w:r>
          </w:p>
        </w:tc>
        <w:tc>
          <w:tcPr/>
          <w:p>
            <w:pPr>
              <w:pStyle w:val="Compact"/>
              <w:jc w:val="left"/>
            </w:pPr>
            <w:r>
              <w:t xml:space="preserve">14,393 - 36,313</w:t>
            </w:r>
          </w:p>
        </w:tc>
      </w:tr>
      <w:tr>
        <w:tc>
          <w:tcPr/>
          <w:p>
            <w:pPr>
              <w:pStyle w:val="Compact"/>
              <w:jc w:val="left"/>
            </w:pPr>
            <w:r>
              <w:t xml:space="preserve">Fall 2020</w:t>
            </w:r>
          </w:p>
        </w:tc>
        <w:tc>
          <w:tcPr/>
          <w:p>
            <w:pPr>
              <w:pStyle w:val="Compact"/>
              <w:jc w:val="left"/>
            </w:pPr>
            <w:r>
              <w:t xml:space="preserve">Petersen</w:t>
            </w:r>
          </w:p>
        </w:tc>
        <w:tc>
          <w:tcPr/>
          <w:p>
            <w:pPr>
              <w:pStyle w:val="Compact"/>
              <w:jc w:val="left"/>
            </w:pPr>
            <w:r>
              <w:t xml:space="preserve">29,100</w:t>
            </w:r>
          </w:p>
        </w:tc>
        <w:tc>
          <w:tcPr/>
          <w:p>
            <w:pPr>
              <w:pStyle w:val="Compact"/>
              <w:jc w:val="left"/>
            </w:pPr>
            <w:r>
              <w:t xml:space="preserve">12,902</w:t>
            </w:r>
          </w:p>
        </w:tc>
        <w:tc>
          <w:tcPr/>
          <w:p>
            <w:pPr>
              <w:pStyle w:val="Compact"/>
              <w:jc w:val="left"/>
            </w:pPr>
            <w:r>
              <w:t xml:space="preserve">12,470 - 89,622</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Schumacher-Eschmeyer</w:t>
            </w:r>
          </w:p>
        </w:tc>
        <w:tc>
          <w:tcPr/>
          <w:p>
            <w:pPr>
              <w:pStyle w:val="Compact"/>
              <w:jc w:val="left"/>
            </w:pPr>
            <w:r>
              <w:t xml:space="preserve">42,475</w:t>
            </w:r>
          </w:p>
        </w:tc>
        <w:tc>
          <w:tcPr/>
          <w:p>
            <w:pPr>
              <w:pStyle w:val="Compact"/>
              <w:jc w:val="left"/>
            </w:pPr>
            <w:r>
              <w:t xml:space="preserve">NA</w:t>
            </w:r>
          </w:p>
        </w:tc>
        <w:tc>
          <w:tcPr/>
          <w:p>
            <w:pPr>
              <w:pStyle w:val="Compact"/>
              <w:jc w:val="left"/>
            </w:pPr>
            <w:r>
              <w:t xml:space="preserve">22,501 - 378,128</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bookmarkEnd w:id="94"/>
    <w:bookmarkStart w:id="103" w:name="figures"/>
    <w:p>
      <w:pPr>
        <w:pStyle w:val="Heading1"/>
      </w:pPr>
      <w:r>
        <w:t xml:space="preserve">Figures</w:t>
      </w:r>
    </w:p>
    <w:bookmarkStart w:id="95" w:name="figures"/>
    <w:bookmarkEnd w:id="9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02" w:name="colophon"/>
    <w:p>
      <w:pPr>
        <w:pStyle w:val="Heading3"/>
      </w:pPr>
      <w:r>
        <w:t xml:space="preserve">Colophon</w:t>
      </w:r>
    </w:p>
    <w:p>
      <w:pPr>
        <w:pStyle w:val="FirstParagraph"/>
      </w:pPr>
      <w:r>
        <w:t xml:space="preserve">This report was generated on 2022-01-13 14:16:09 using the following computational environment and dependencies:</w:t>
      </w:r>
    </w:p>
    <w:p>
      <w:pPr>
        <w:pStyle w:val="SourceCode"/>
      </w:pPr>
      <w:r>
        <w:rPr>
          <w:rStyle w:val="VerbatimChar"/>
        </w:rPr>
        <w:t xml:space="preserve">#&gt; - Session info  --------------------------------------------------------------</w:t>
      </w:r>
      <w:r>
        <w:br/>
      </w:r>
      <w:r>
        <w:rPr>
          <w:rStyle w:val="VerbatimChar"/>
        </w:rPr>
        <w:t xml:space="preserve">#&gt;  hash: leg: medium-dark skin tone, person shrugging: medium-light skin tone, person getting massage: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2022-01-13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[cec702a] 2022-01-10: added a few comments and made a few editorial revisions.</w:t>
      </w:r>
    </w:p>
    <w:bookmarkEnd w:id="102"/>
    <w:bookmarkEnd w:id="10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8" Target="https://www.audubon.org/important-bird-areas/deadwater-slough#" TargetMode="External" /><Relationship Type="http://schemas.openxmlformats.org/officeDocument/2006/relationships/hyperlink" Id="rId39"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2022-01-13T21:16:11Z</dcterms:created>
  <dcterms:modified xsi:type="dcterms:W3CDTF">2022-01-13T21:16:11Z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13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